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B4AD3">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DB17AD3">
      <w:pPr>
        <w:spacing w:line="540" w:lineRule="exact"/>
        <w:jc w:val="center"/>
        <w:rPr>
          <w:rFonts w:ascii="方正小标宋_GBK" w:hAnsi="华文中宋" w:eastAsia="方正小标宋_GBK" w:cs="宋体"/>
          <w:b/>
          <w:kern w:val="0"/>
          <w:sz w:val="48"/>
          <w:szCs w:val="48"/>
        </w:rPr>
      </w:pPr>
    </w:p>
    <w:p w14:paraId="3B03CA21">
      <w:pPr>
        <w:spacing w:line="540" w:lineRule="exact"/>
        <w:jc w:val="center"/>
        <w:rPr>
          <w:rFonts w:ascii="方正小标宋_GBK" w:hAnsi="华文中宋" w:eastAsia="方正小标宋_GBK" w:cs="宋体"/>
          <w:b/>
          <w:kern w:val="0"/>
          <w:sz w:val="48"/>
          <w:szCs w:val="48"/>
        </w:rPr>
      </w:pPr>
    </w:p>
    <w:p w14:paraId="221FF3E9">
      <w:pPr>
        <w:spacing w:line="540" w:lineRule="exact"/>
        <w:jc w:val="center"/>
        <w:rPr>
          <w:rFonts w:ascii="方正小标宋_GBK" w:hAnsi="华文中宋" w:eastAsia="方正小标宋_GBK" w:cs="宋体"/>
          <w:b/>
          <w:kern w:val="0"/>
          <w:sz w:val="48"/>
          <w:szCs w:val="48"/>
        </w:rPr>
      </w:pPr>
    </w:p>
    <w:p w14:paraId="30E044AC">
      <w:pPr>
        <w:spacing w:line="540" w:lineRule="exact"/>
        <w:jc w:val="center"/>
        <w:rPr>
          <w:rFonts w:ascii="方正小标宋_GBK" w:hAnsi="华文中宋" w:eastAsia="方正小标宋_GBK" w:cs="宋体"/>
          <w:b/>
          <w:kern w:val="0"/>
          <w:sz w:val="48"/>
          <w:szCs w:val="48"/>
        </w:rPr>
      </w:pPr>
    </w:p>
    <w:p w14:paraId="4AEC9F41">
      <w:pPr>
        <w:spacing w:line="540" w:lineRule="exact"/>
        <w:jc w:val="center"/>
        <w:rPr>
          <w:rFonts w:ascii="方正小标宋_GBK" w:hAnsi="华文中宋" w:eastAsia="方正小标宋_GBK" w:cs="宋体"/>
          <w:b/>
          <w:kern w:val="0"/>
          <w:sz w:val="48"/>
          <w:szCs w:val="48"/>
        </w:rPr>
      </w:pPr>
    </w:p>
    <w:p w14:paraId="2783447B">
      <w:pPr>
        <w:spacing w:line="540" w:lineRule="exact"/>
        <w:jc w:val="center"/>
        <w:rPr>
          <w:rFonts w:ascii="方正小标宋_GBK" w:hAnsi="华文中宋" w:eastAsia="方正小标宋_GBK" w:cs="宋体"/>
          <w:b/>
          <w:kern w:val="0"/>
          <w:sz w:val="48"/>
          <w:szCs w:val="48"/>
        </w:rPr>
      </w:pPr>
    </w:p>
    <w:p w14:paraId="5DAEA9E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4E4E7D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0089983">
      <w:pPr>
        <w:spacing w:line="540" w:lineRule="exact"/>
        <w:jc w:val="center"/>
        <w:rPr>
          <w:rFonts w:ascii="华文中宋" w:hAnsi="华文中宋" w:eastAsia="华文中宋" w:cs="宋体"/>
          <w:b/>
          <w:kern w:val="0"/>
          <w:sz w:val="52"/>
          <w:szCs w:val="52"/>
        </w:rPr>
      </w:pPr>
    </w:p>
    <w:p w14:paraId="3F837E69">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B74320E">
      <w:pPr>
        <w:spacing w:line="700" w:lineRule="exact"/>
        <w:jc w:val="left"/>
        <w:rPr>
          <w:rFonts w:hint="eastAsia" w:hAnsi="宋体" w:eastAsia="仿宋_GB2312" w:cs="宋体"/>
          <w:kern w:val="0"/>
          <w:sz w:val="36"/>
          <w:szCs w:val="36"/>
        </w:rPr>
      </w:pPr>
    </w:p>
    <w:p w14:paraId="6B4ECC53">
      <w:pPr>
        <w:spacing w:line="700" w:lineRule="exact"/>
        <w:jc w:val="left"/>
        <w:rPr>
          <w:rFonts w:hint="eastAsia" w:hAnsi="宋体" w:eastAsia="仿宋_GB2312" w:cs="宋体"/>
          <w:kern w:val="0"/>
          <w:sz w:val="36"/>
          <w:szCs w:val="36"/>
        </w:rPr>
      </w:pPr>
    </w:p>
    <w:p w14:paraId="4F527C5A">
      <w:pPr>
        <w:spacing w:line="700" w:lineRule="exact"/>
        <w:jc w:val="left"/>
        <w:rPr>
          <w:rFonts w:hint="eastAsia" w:hAnsi="宋体" w:eastAsia="仿宋_GB2312" w:cs="宋体"/>
          <w:kern w:val="0"/>
          <w:sz w:val="36"/>
          <w:szCs w:val="36"/>
          <w:lang w:eastAsia="zh-CN"/>
        </w:rPr>
      </w:pPr>
    </w:p>
    <w:p w14:paraId="15EB5F67">
      <w:pPr>
        <w:spacing w:line="700" w:lineRule="exact"/>
        <w:jc w:val="left"/>
        <w:rPr>
          <w:rFonts w:hint="eastAsia" w:hAnsi="宋体" w:eastAsia="仿宋_GB2312" w:cs="宋体"/>
          <w:kern w:val="0"/>
          <w:sz w:val="36"/>
          <w:szCs w:val="36"/>
          <w:lang w:eastAsia="zh-CN"/>
        </w:rPr>
      </w:pPr>
    </w:p>
    <w:p w14:paraId="19680492">
      <w:pPr>
        <w:spacing w:line="700" w:lineRule="exact"/>
        <w:jc w:val="left"/>
        <w:rPr>
          <w:rFonts w:hint="eastAsia" w:hAnsi="宋体" w:eastAsia="仿宋_GB2312" w:cs="宋体"/>
          <w:kern w:val="0"/>
          <w:sz w:val="36"/>
          <w:szCs w:val="36"/>
          <w:lang w:eastAsia="zh-CN"/>
        </w:rPr>
      </w:pPr>
    </w:p>
    <w:p w14:paraId="48A55E67">
      <w:pPr>
        <w:spacing w:line="700" w:lineRule="exact"/>
        <w:jc w:val="left"/>
        <w:rPr>
          <w:rFonts w:hint="eastAsia" w:hAnsi="宋体" w:eastAsia="仿宋_GB2312" w:cs="宋体"/>
          <w:kern w:val="0"/>
          <w:sz w:val="36"/>
          <w:szCs w:val="36"/>
          <w:lang w:eastAsia="zh-CN"/>
        </w:rPr>
      </w:pPr>
    </w:p>
    <w:p w14:paraId="1698CF1D">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克州外办</w:t>
      </w:r>
    </w:p>
    <w:p w14:paraId="202FFEFE">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2AD17AD">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6D1CBA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1DBCAE4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党和国家外事、侨务、口岸、边防工作的方针、政策和有关法律、法规以及克州关于外事、侨务、口岸、边防工作的决定，依法拟定克州外事、侨务、口岸、边防工作的政策、法规及规划并组织实施；负责协调、处理克州重大涉外涉侨事务。负责克州因公出国(境)管理工作。按规定审批、承办克州因公出国(境)人员的护照、赴港澳通行证的审批和管理、外国签证的申办，审批应邀访华外国人的签证通知函电及邀请外国(境外)和港、澳人员来访事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克孜勒苏柯尔克孜自治州外事办公室无下属预算单位，下设5个科室，分别是：综合科、外事科、边界科、侨联办公室、外事服务中心。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克孜勒苏柯尔克孜自治州人民政府外事办公室编制数16人，实有人数36人，其中：在职21人，退休15人。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（1）聚焦总目标，压紧压实防疫责任</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不断完善优化防疫措施。坚持在州委统一领导下，压紧压实主体责任，进一步完善口岸疫情防控工作方案和应急预案。对州疫情防控外事组职责、领导小组、实施方案进行与时俱进优化调整，形成边检、海关、公安、口岸、卫健委联动机制。对成员单位日常监督和应急协调配合演练，形成疫情防控“外防输入”合力。二是开展国际抗疫合作。按照自治区、克州疫情防控要求，积极沟通、协调、服务、配合，向吉国通过伊尔克什坦口岸、吐尔尕特口岸转运各类防疫物资。受外交部边海司委托，向纳伦州、奥什州共捐赠40万元的防疫物资，包括医用呼吸机、监护仪、莲花清温胶囊、医用口罩、手套等。统筹医疗物资出境5车，协助出境</w:t>
      </w:r>
      <w:r>
        <w:rPr>
          <w:rFonts w:hint="eastAsia" w:ascii="仿宋_GB2312" w:hAnsi="宋体" w:eastAsia="仿宋_GB2312"/>
          <w:b w:val="0"/>
          <w:bCs/>
          <w:sz w:val="32"/>
          <w:szCs w:val="32"/>
          <w:lang w:eastAsia="zh-CN"/>
        </w:rPr>
        <w:t>吉尔吉斯斯坦</w:t>
      </w:r>
      <w:r>
        <w:rPr>
          <w:rFonts w:hint="eastAsia" w:ascii="仿宋_GB2312" w:hAnsi="宋体" w:eastAsia="仿宋_GB2312"/>
          <w:b w:val="0"/>
          <w:bCs/>
          <w:sz w:val="32"/>
          <w:szCs w:val="32"/>
        </w:rPr>
        <w:t>、乌孜别克斯坦大型机械设备36批次319车。三是持续做好口岸防疫工作。时刻绷紧“外防输入、内防反弹”这根弦，坚持关口前移、靠前指挥，狠抓闭环管理，组建伊尔克什坦、吐尔尕特口岸新冠肺炎疫情防控两个工作专班，专班下设八个专项组，推动形成一整套系统的工作方案、流程、岗位职责及应急处突预案等机制。始终坚持把口岸疫情防控作为常态化疫情防控的重中之重，坚持防疫为要的原则，认真落实“八项监测预警机制”和口岸防疫“五分五联”工作要求，毫不松懈地抓紧、抓实、抓细口岸疫情防控各项措施，既筑牢了边境管控铜墙铁壁和境外疫情输入安全防线，又科学有序的推动了口岸经济平稳健康发展，货物通关高效有序目标，受到了自治区、州委的充分肯定和吉尔吉斯斯坦的高度赞誉。四是做好州疫情防控外事组工作。积极参加自治区疫情防控外事组视频调度会，汇报阶段性口岸疫情防控工作，并对各县（市）和口岸疫情防控进行安排部署。认真做好自治区疫情防控指挥部外事组常态化督导检查工作，积极参加阿拉山口市口岸疫情防控现场观摩会，不断查找不足和薄弱环节，补齐短板，扎实推进疫情防控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（2）聚焦总目标，不断增强安全意识</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加强涉外安全。配合驻吉使馆，加强协调联络和信息通报，妥善处置涉外事件。及时分析研判安全形势，启动预案，形成联动机制。二是筑牢边境安全。配合做好边境一线、口岸维护社会秩序稳定，加强管控、严防非法人员“潜入潜出”、肆意“闯关”，确保“一个出不去”“一个进不来”。加强对护边员爱国主义、法律法规等的宣传教育培训，不断增强法纪意识和爱国意识。积极配合做好一体管边、控边工作，推进边境基础设施共建共享，形成“边防共守、力量共建、信息共享、技防互通、区域联动、合成作战”的管边控边新格局。三是强化生产安全。认真学习贯彻习近平总书记关于安全生产的指示批示精神，组织党员干部学习《应急管理体系和能力建设干部读本》，不断提高安全生产责任意识。按照安全生产党政同责的要求，不断完善克州外办处置突发事件应急疏散预案。开展5.12防灾减灾日宣传活动，加强对安全生产的教育培训，签订安全生产承诺书、责任状，确保“守好院门、看好家门”。四是狠抓网络意识形态安全。积极开展自查自纠、风险排查、整改工作，开展经常性网络安全宣传教育，重视网络舆情分析研判，加强网评员、网络文明监督员队伍建设和作用发挥。</w:t>
      </w:r>
      <w:r>
        <w:rPr>
          <w:rFonts w:hint="eastAsia" w:ascii="仿宋_GB2312" w:hAnsi="宋体" w:eastAsia="仿宋_GB2312"/>
          <w:b w:val="0"/>
          <w:bCs/>
          <w:sz w:val="32"/>
          <w:szCs w:val="32"/>
        </w:rPr>
        <w:cr/>
      </w:r>
      <w:r>
        <w:rPr>
          <w:rFonts w:hint="eastAsia" w:ascii="仿宋_GB2312" w:hAnsi="宋体" w:eastAsia="仿宋_GB2312"/>
          <w:b w:val="0"/>
          <w:bCs/>
          <w:sz w:val="32"/>
          <w:szCs w:val="32"/>
        </w:rPr>
        <w:t>　　(3）聚焦总目标，努力推动经济高质量发展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推进“一带一路”核心区建设。加强与丝绸之路经济带沿线国家在教育卫生、文化旅游、经济贸易等各领域开展人文交流合作。充分发挥外事（侨联）职能作用，主动协调、积极配合，统筹推进《关于进一步推进喀什经济开发区高质量发展的指导意见》涉及伊尔克什坦园区各项工作。与吉尔吉斯斯坦主要城市建立友好城市，建立民间友好往来，商务往来等双边、多边联系机制，进一步加强跨境合作。全面落实《新疆维吾尔自治区馕产业发展实施方案》，积极开拓周边国际市场，推广新疆饮食文化，提升新疆馕的国际知名度和市场份额，扩大克州就业。二是推进口岸经济带建设。充分发挥口岸区位、政策、地理优势，着力打造集落地加工、产业聚集、商贸物流、互市贸易为一体的口岸经济平台，推动“通道经济”向“口岸经济”转变。紧紧围绕服务国家外交大局，坚持口岸安全顺畅高效的原则，积极克服各种困难和挑战，投入大量的人力、物力、财力，不惜代价、全力以赴地为吉方提供货运通关保障。聚焦疫情防控和口岸经济发展，按照“客停货通”和“四快”原则，不断探索和有效实践，先后采用甩挂、倒装、界桥交接等货运通关模式，进一步创新不开国门零接触的“跨界吊装”模式，使口岸通关模式不断丰富、通关能力持续提升。今年以来，克州外办协助中吉口岸完成货运通关20734辆次，出口货物22.75万吨。三是推进口岸园区高质量建设。积极推进“1+3”园区体系建设，探索推行“飞地园区、园中园”模式，加快推动克州江苏产业园区、伊尔克什坦口岸江西进出口产业园建设，实现项目共建、利益共享。持续加大招商引资推介力度，用好国内大市场，主动承接东部沿海发达地区产业转移，积极吸引各类要素向克州汇聚、产业向克州转移，切实构建更大范围、更宽领域、更深层次的高水平开放新格局。四是推进乡村振兴。帮助喀什博依村做好乡村振兴产业规划，一村一特，一村一品，以土地平整提质增效，促进农民增收，以农养畜，发展西门塔尔牛、柯尔克孜羊、鸽子等优质畜禽品种改良，增加农民收入。以村庄清洁行动、厕所革命为载体，持续开展人居环境整治、四区分离、垃圾、污水处理等，坚持生态优先，努力建设农业强、农村美、农民富、生态好的新时代美丽乡村。</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民政府外事办公室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民政府外事办公室集体决策制度》和《克州人民政府外事办公室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民政府外事办公室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人民政府外事办公室合同管理办法》相关规定，克州人民政府外事办公室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445.77万元，项目支出安排资金19.97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本单位2021年度项目支出19.97万元，涉及项目数量3个，其中：重点项目支出12万元，涉及重点项目数量1个，重点项目支出与部门项目总支出的比率为60.09%。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2021年度本单位年初批复部门预算资金总额为310.59万元，年中调增预算总额为135.18万元，调整后全年预算资金总额为465.74万元。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2021年度本单位部门整体支出资金总额为445.28万元，预算执行率为95.61%，预算调整率为</w:t>
      </w:r>
      <w:r>
        <w:rPr>
          <w:rFonts w:hint="eastAsia" w:ascii="仿宋_GB2312" w:hAnsi="宋体" w:eastAsia="仿宋_GB2312"/>
          <w:b w:val="0"/>
          <w:bCs/>
          <w:sz w:val="32"/>
          <w:szCs w:val="32"/>
          <w:lang w:val="en-US" w:eastAsia="zh-CN"/>
        </w:rPr>
        <w:t>43.52</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年初政府采购预算数为26万元，实际政府采购数为7.25万元，政府采购执行率为27.88%。</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AC6E28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90A5F9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为加强我单位预算管理、规范财务行为我单位制定了《克州人民政府外事办公室内部控制规范》《克州人民政府外事办公室项目管理规范》等资金管理制度，已建立制度均健全且有效运行。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445.77万元，其中人员经费294.17万元，公用经费151.60万元。实际执行总额为425.31万元，预算执行率95.41%。偏差原因：公用经费2021年结余20.46万元，该笔资金是自治区外办拨入我单位调研费、界碑维护费等费用，</w:t>
      </w:r>
      <w:r>
        <w:rPr>
          <w:rFonts w:hint="eastAsia" w:ascii="仿宋_GB2312" w:hAnsi="宋体" w:eastAsia="仿宋_GB2312"/>
          <w:b w:val="0"/>
          <w:bCs/>
          <w:sz w:val="32"/>
          <w:szCs w:val="32"/>
        </w:rPr>
        <w:cr/>
      </w:r>
      <w:r>
        <w:rPr>
          <w:rFonts w:hint="eastAsia" w:ascii="仿宋_GB2312" w:hAnsi="宋体" w:eastAsia="仿宋_GB2312"/>
          <w:b w:val="0"/>
          <w:bCs/>
          <w:sz w:val="32"/>
          <w:szCs w:val="32"/>
        </w:rPr>
        <w:t>由于疫情原因，未完工，未能形成支出。改进措施：下年度设定按月、按季度工作任务，及时完成上年度工作任务，形成支出。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1.33万元，比上年增加0.11万元，增加9.02%，主要原因是：增加公务车运行维护费。其中，因公出国（境）费支出0万元；公务用车购置及运行维护费支出1.03万元；公务接待费支出0.3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与年初预算数相比情况：一般公共预算“三公”经费支出年初预算数5万元，预算执行数为1.33万元，执行率为26.6%，主要原因是：主要原因是厉行节约，加强管理，降低费用，因此支出随之减少。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2021年度本单位项目支出预算总额为19.97万元，实际执行资金总额为19.97万元，预算执行率为100%。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为民办实事经费和第一书记工作经费项目:全年预算数为12万元，预算执行数为12万元，预算执行率为100%。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2021年度预算安排本级财力资金7.97万元，实际支出资金7.97万元，预算执行率为100%，涉及项目个数2个，各项目详细执行情况如下：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见习岗位补贴项目:全年预算数为0.97万元，预算执行数为0.97万元，预算执行率为100%。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p>
    <w:p w14:paraId="612EAFB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332A5C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w:t>
      </w:r>
      <w:r>
        <w:rPr>
          <w:rFonts w:hint="eastAsia" w:ascii="仿宋_GB2312" w:hAnsi="宋体" w:eastAsia="仿宋_GB2312"/>
          <w:b w:val="0"/>
          <w:bCs/>
          <w:sz w:val="32"/>
          <w:szCs w:val="32"/>
          <w:lang w:val="en-US" w:eastAsia="zh-CN"/>
        </w:rPr>
        <w:t>100</w:t>
      </w:r>
      <w:r>
        <w:rPr>
          <w:rFonts w:hint="eastAsia" w:ascii="仿宋_GB2312" w:hAnsi="宋体" w:eastAsia="仿宋_GB2312"/>
          <w:b w:val="0"/>
          <w:bCs/>
          <w:sz w:val="32"/>
          <w:szCs w:val="32"/>
        </w:rPr>
        <w:t>%。加强专项资金的管理和核算,专项资金严格按照项目实施方案执行。接受各项财务检查中未发现重大管理漏洞和问题,并通过检查推进财务规范化管理。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①制订《克州人民政府外事办公室经费使用规范》,为合理合规使用经费提供了有力的制度保障。同时,建立区委组织部项目经费内部管控制度，并严格按要求落实。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驻村工作队开展驻村工作任务。通过该项目的实施，解决群众生产生活中的实际困难，加强民族团结，增进民族互信，突出现代文化引领，关心关爱困难群众，实现维护社会稳定和长治久安总目标。</w:t>
      </w:r>
    </w:p>
    <w:p w14:paraId="211ADEC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6BA85A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本单位2021年初资产合计数为82.28万元，年末资产合计数为49.72万元。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截止本年度固定资产账面净值29.68万元，年末实际在用固定资产29.68万元，固定资产利用率为100%。</w:t>
      </w:r>
    </w:p>
    <w:p w14:paraId="2B9B540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4F83EA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保障工作人员人数指标，预期指标是等于36人，实际完成值是36人，指标完成率是100%，达到预期目标。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保障车辆数量指标，预期指标是等于3辆，实际完成值是3辆，指标完成率是100%，达到预期目标。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国外运送物质指标，预期指标是大于等于2件，实际完成值是2件，指标完成率是100%，达到预期目标。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办理护照数量指标，预期指标是大于等于20本，实际完成值是20本，指标完成率是100%，达到预期目标。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界桩维护数量指标，预期指标是等于86个，实际完成值是86个，指标完成率是100%，达到预期目标。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数量指标共计5个，完成5个，达到预期目标，数量指标完成。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资金支付及时率指标，预期指标是等于100%，实际完成值是1，指标完成率是100%，达到预期目标。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资金使用合规率指标，预期指标是等于100%，实际完成值是1，指标完成率是100%，达到预期目标。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绩效考核合格率指标，预期指标是等于100%，实际完成值是1，指标完成率是100%，达到预期目标。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人员经费指标，预期指标是等于275.29万元，实际完成值是275.29万元，指标完成率是100%，达到成本控制及改善目标。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公用经费指标，预期指标是等于35.30万元，实际完成值是35.30万元，指标完成率是100%，达到成本控制及改善目标。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项目支出指标，预期指标是等于19万元，实际完成值是19万元，指标完成率是100%，达到成本控制及改善目标。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见习生生活保障指标，预期指标是等于0.97万元，实际完成值是0.97万元，指标完成率是100%，达到成本控制及改善目标。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成本指标共计4个，完成4个，达到成本控制及改善目标，成本指标完成。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保障基层生活工作水平指标，预期指标是有效保障，实际完成值是有效保障，指标完成率是100%，达到预期目标。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保障生治州丝绸之路经济带核心区建设境外安全指标，预期指标是有效保障，实际完成值是有效保障，指标完成率是100%，达到预期目标。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开展内部建设和外部联合工作指标，预期指标是持续开展，实际完成值是持续开展，指标完成率是100%，达到预期目标。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受益群众满意度指标，预期指标是大于等于95%，实际完成值是0.95，指标完成率是100%，达到部门（单位）服务对象对部门履职效果的满意度。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14:paraId="677C188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866E91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516A9F7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FB47FE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2C46532"/>
    <w:rsid w:val="24B86128"/>
    <w:rsid w:val="408E1834"/>
    <w:rsid w:val="51C70EA9"/>
    <w:rsid w:val="54F842B6"/>
    <w:rsid w:val="656071F2"/>
    <w:rsid w:val="6BF1756B"/>
    <w:rsid w:val="6F5E1AA3"/>
    <w:rsid w:val="7D273B16"/>
    <w:rsid w:val="7F200B83"/>
    <w:rsid w:val="7F5D585A"/>
    <w:rsid w:val="7FE43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11493</Words>
  <Characters>11913</Characters>
  <Lines>2</Lines>
  <Paragraphs>1</Paragraphs>
  <TotalTime>32</TotalTime>
  <ScaleCrop>false</ScaleCrop>
  <LinksUpToDate>false</LinksUpToDate>
  <CharactersWithSpaces>12225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2025-07-31T03:25:11Z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